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spacing w:before="79"/>
        <w:ind w:right="1310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pacing w:val="-2"/>
          <w:sz w:val="24"/>
        </w:rPr>
        <w:t>Утверждѐн</w:t>
      </w:r>
    </w:p>
    <w:p w14:paraId="04000000">
      <w:pPr>
        <w:pStyle w:val="Style_1"/>
        <w:spacing w:before="184"/>
        <w:ind w:firstLine="0" w:left="6805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общим</w:t>
      </w:r>
      <w:r>
        <w:rPr>
          <w:rFonts w:ascii="Times New Roman" w:hAnsi="Times New Roman"/>
          <w:b w:val="0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собранием</w:t>
      </w:r>
      <w:r>
        <w:rPr>
          <w:rFonts w:ascii="Times New Roman" w:hAnsi="Times New Roman"/>
          <w:b w:val="0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СНТ</w:t>
      </w:r>
      <w:r>
        <w:rPr>
          <w:rFonts w:ascii="Times New Roman" w:hAnsi="Times New Roman"/>
          <w:b w:val="0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spacing w:val="-2"/>
          <w:sz w:val="24"/>
        </w:rPr>
        <w:t>«Лесное»</w:t>
      </w:r>
    </w:p>
    <w:p w14:paraId="05000000">
      <w:pPr>
        <w:pStyle w:val="Style_1"/>
        <w:tabs>
          <w:tab w:leader="none" w:pos="7414" w:val="left"/>
          <w:tab w:leader="none" w:pos="7628" w:val="left"/>
          <w:tab w:leader="none" w:pos="9374" w:val="left"/>
        </w:tabs>
        <w:spacing w:before="187"/>
        <w:ind w:firstLine="0" w:left="6788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  <w:u w:val="single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  <w:u w:val="single"/>
        </w:rPr>
        <w:tab/>
      </w:r>
      <w:r>
        <w:rPr>
          <w:rFonts w:ascii="Times New Roman" w:hAnsi="Times New Roman"/>
          <w:b w:val="0"/>
          <w:sz w:val="24"/>
        </w:rPr>
        <w:t>2025</w:t>
      </w:r>
      <w:r>
        <w:rPr>
          <w:rFonts w:ascii="Times New Roman" w:hAnsi="Times New Roman"/>
          <w:b w:val="0"/>
          <w:spacing w:val="-3"/>
          <w:sz w:val="24"/>
        </w:rPr>
        <w:t xml:space="preserve"> </w:t>
      </w:r>
      <w:r>
        <w:rPr>
          <w:rFonts w:ascii="Times New Roman" w:hAnsi="Times New Roman"/>
          <w:b w:val="0"/>
          <w:spacing w:val="-5"/>
          <w:sz w:val="24"/>
        </w:rPr>
        <w:t>г.</w:t>
      </w:r>
    </w:p>
    <w:p w14:paraId="06000000">
      <w:pPr>
        <w:pStyle w:val="Style_1"/>
        <w:ind/>
        <w:jc w:val="both"/>
        <w:rPr>
          <w:rFonts w:ascii="Times New Roman" w:hAnsi="Times New Roman"/>
          <w:b w:val="0"/>
          <w:sz w:val="24"/>
        </w:rPr>
      </w:pPr>
    </w:p>
    <w:p w14:paraId="07000000">
      <w:pPr>
        <w:pStyle w:val="Style_1"/>
        <w:spacing w:before="54"/>
        <w:ind/>
        <w:jc w:val="center"/>
        <w:rPr>
          <w:rFonts w:ascii="Times New Roman" w:hAnsi="Times New Roman"/>
          <w:b w:val="0"/>
          <w:sz w:val="24"/>
        </w:rPr>
      </w:pPr>
    </w:p>
    <w:p w14:paraId="08000000">
      <w:pPr>
        <w:pStyle w:val="Style_3"/>
        <w:ind w:firstLine="0" w:left="990" w:right="118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pacing w:val="-4"/>
          <w:sz w:val="24"/>
        </w:rPr>
        <w:t>ПЛАН</w:t>
      </w:r>
    </w:p>
    <w:p w14:paraId="09000000">
      <w:pPr>
        <w:spacing w:before="184"/>
        <w:ind w:firstLine="0" w:left="990" w:right="1184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развития</w:t>
      </w:r>
      <w:r>
        <w:rPr>
          <w:rFonts w:ascii="Times New Roman" w:hAnsi="Times New Roman"/>
          <w:b w:val="0"/>
          <w:spacing w:val="-7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СНТ</w:t>
      </w:r>
      <w:r>
        <w:rPr>
          <w:rFonts w:ascii="Times New Roman" w:hAnsi="Times New Roman"/>
          <w:b w:val="0"/>
          <w:spacing w:val="-4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«Лесное»</w:t>
      </w:r>
      <w:r>
        <w:rPr>
          <w:rFonts w:ascii="Times New Roman" w:hAnsi="Times New Roman"/>
          <w:b w:val="0"/>
          <w:spacing w:val="-4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</w:t>
      </w:r>
      <w:r>
        <w:rPr>
          <w:rFonts w:ascii="Times New Roman" w:hAnsi="Times New Roman"/>
          <w:b w:val="0"/>
          <w:spacing w:val="-3"/>
          <w:sz w:val="24"/>
        </w:rPr>
        <w:t xml:space="preserve"> 31.12.</w:t>
      </w:r>
      <w:r>
        <w:rPr>
          <w:rFonts w:ascii="Times New Roman" w:hAnsi="Times New Roman"/>
          <w:b w:val="0"/>
          <w:sz w:val="24"/>
        </w:rPr>
        <w:t>2027</w:t>
      </w:r>
      <w:r>
        <w:rPr>
          <w:rFonts w:ascii="Times New Roman" w:hAnsi="Times New Roman"/>
          <w:b w:val="0"/>
          <w:spacing w:val="-3"/>
          <w:sz w:val="24"/>
        </w:rPr>
        <w:t xml:space="preserve"> </w:t>
      </w:r>
      <w:r>
        <w:rPr>
          <w:rFonts w:ascii="Times New Roman" w:hAnsi="Times New Roman"/>
          <w:b w:val="0"/>
          <w:spacing w:val="-4"/>
          <w:sz w:val="24"/>
        </w:rPr>
        <w:t>года</w:t>
      </w:r>
    </w:p>
    <w:p w14:paraId="0A000000">
      <w:pPr>
        <w:pStyle w:val="Style_1"/>
        <w:spacing w:before="186" w:line="264" w:lineRule="auto"/>
        <w:ind w:firstLine="708" w:left="412" w:right="12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Целью </w:t>
      </w:r>
      <w:r>
        <w:rPr>
          <w:rFonts w:ascii="Times New Roman" w:hAnsi="Times New Roman"/>
          <w:b w:val="0"/>
          <w:sz w:val="24"/>
        </w:rPr>
        <w:t>исполнения мероприятий Плана является создание благоприятных условий для создания благоприятных условий пребывания и проживания граждан, собственников земельных участков в границах СНТ «Лесное» и членов их семей и гостей, совершенствование этих условий.</w:t>
      </w:r>
    </w:p>
    <w:p w14:paraId="0B000000">
      <w:pPr>
        <w:pStyle w:val="Style_3"/>
        <w:spacing w:before="163" w:line="264" w:lineRule="auto"/>
        <w:ind w:hanging="440" w:left="3900" w:right="24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Основные</w:t>
      </w:r>
      <w:r>
        <w:rPr>
          <w:rFonts w:ascii="Times New Roman" w:hAnsi="Times New Roman"/>
          <w:b w:val="0"/>
          <w:spacing w:val="-16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планируемые</w:t>
      </w:r>
      <w:r>
        <w:rPr>
          <w:rFonts w:ascii="Times New Roman" w:hAnsi="Times New Roman"/>
          <w:b w:val="0"/>
          <w:spacing w:val="-16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мероприятия и предполагаемый объем работ</w:t>
      </w:r>
    </w:p>
    <w:p w14:paraId="0C000000">
      <w:pPr>
        <w:pStyle w:val="Style_4"/>
        <w:numPr>
          <w:ilvl w:val="0"/>
          <w:numId w:val="1"/>
        </w:numPr>
        <w:tabs>
          <w:tab w:leader="none" w:pos="1400" w:val="left"/>
        </w:tabs>
        <w:spacing w:before="159"/>
        <w:ind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Первоочередные</w:t>
      </w:r>
      <w:r>
        <w:rPr>
          <w:rFonts w:ascii="Times New Roman" w:hAnsi="Times New Roman"/>
          <w:b w:val="0"/>
          <w:spacing w:val="-12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объекты</w:t>
      </w:r>
      <w:r>
        <w:rPr>
          <w:rFonts w:ascii="Times New Roman" w:hAnsi="Times New Roman"/>
          <w:b w:val="0"/>
          <w:spacing w:val="-8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для</w:t>
      </w:r>
      <w:r>
        <w:rPr>
          <w:rFonts w:ascii="Times New Roman" w:hAnsi="Times New Roman"/>
          <w:b w:val="0"/>
          <w:spacing w:val="-1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ремонтных</w:t>
      </w:r>
      <w:r>
        <w:rPr>
          <w:rFonts w:ascii="Times New Roman" w:hAnsi="Times New Roman"/>
          <w:b w:val="0"/>
          <w:spacing w:val="-6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</w:t>
      </w:r>
      <w:r>
        <w:rPr>
          <w:rFonts w:ascii="Times New Roman" w:hAnsi="Times New Roman"/>
          <w:b w:val="0"/>
          <w:spacing w:val="-1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восстановительных</w:t>
      </w:r>
      <w:r>
        <w:rPr>
          <w:rFonts w:ascii="Times New Roman" w:hAnsi="Times New Roman"/>
          <w:b w:val="0"/>
          <w:spacing w:val="-6"/>
          <w:sz w:val="24"/>
        </w:rPr>
        <w:t xml:space="preserve"> </w:t>
      </w:r>
      <w:r>
        <w:rPr>
          <w:rFonts w:ascii="Times New Roman" w:hAnsi="Times New Roman"/>
          <w:b w:val="0"/>
          <w:spacing w:val="-2"/>
          <w:sz w:val="24"/>
        </w:rPr>
        <w:t>работ:</w:t>
      </w:r>
    </w:p>
    <w:p w14:paraId="0D000000">
      <w:pPr>
        <w:pStyle w:val="Style_4"/>
        <w:numPr>
          <w:ilvl w:val="1"/>
          <w:numId w:val="1"/>
        </w:numPr>
        <w:tabs>
          <w:tab w:leader="none" w:pos="1409" w:val="left"/>
        </w:tabs>
        <w:spacing w:line="264" w:lineRule="auto"/>
        <w:ind w:right="12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обустройство противопожарно-дренажной канавы, заменяющая </w:t>
      </w:r>
      <w:r>
        <w:rPr>
          <w:rFonts w:ascii="Times New Roman" w:hAnsi="Times New Roman"/>
          <w:b w:val="0"/>
          <w:sz w:val="24"/>
        </w:rPr>
        <w:t xml:space="preserve">противопожарную минерализованную полосу </w:t>
      </w:r>
      <w:r>
        <w:rPr>
          <w:rFonts w:ascii="Times New Roman" w:hAnsi="Times New Roman"/>
          <w:b w:val="0"/>
          <w:sz w:val="24"/>
        </w:rPr>
        <w:t>по границе</w:t>
      </w:r>
      <w:r>
        <w:rPr>
          <w:rFonts w:ascii="Times New Roman" w:hAnsi="Times New Roman"/>
          <w:b w:val="0"/>
          <w:sz w:val="24"/>
        </w:rPr>
        <w:t xml:space="preserve"> СНТ </w:t>
      </w:r>
      <w:r>
        <w:rPr>
          <w:rFonts w:ascii="Times New Roman" w:hAnsi="Times New Roman"/>
          <w:b w:val="0"/>
          <w:sz w:val="24"/>
        </w:rPr>
        <w:t>с городскими лесами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(</w:t>
      </w:r>
      <w:r>
        <w:rPr>
          <w:rFonts w:ascii="Times New Roman" w:hAnsi="Times New Roman"/>
          <w:b w:val="0"/>
          <w:sz w:val="24"/>
        </w:rPr>
        <w:t>прокопать канаву экскаватором, вырубка кустарника, молодых деревьев, корней и травяного покрова по полосе прохода экскаватора);</w:t>
      </w:r>
    </w:p>
    <w:tbl>
      <w:tblPr>
        <w:tblStyle w:val="Style_5"/>
        <w:tblInd w:type="dxa" w:w="7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5"/>
        <w:gridCol w:w="1830"/>
        <w:gridCol w:w="1560"/>
        <w:gridCol w:w="1747"/>
        <w:gridCol w:w="3790"/>
      </w:tblGrid>
      <w:tr>
        <w:trPr>
          <w:trHeight w:hRule="atLeast" w:val="966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6"/>
              <w:ind w:firstLine="55" w:left="110" w:right="89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0"/>
                <w:spacing w:val="-4"/>
                <w:sz w:val="24"/>
              </w:rPr>
              <w:t>п/п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6"/>
              <w:spacing w:before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Планируемые</w:t>
            </w:r>
            <w:r>
              <w:rPr>
                <w:rFonts w:ascii="Times New Roman" w:hAnsi="Times New Roman"/>
                <w:b w:val="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>мероприятия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6"/>
              <w:spacing w:line="308" w:lineRule="exact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Исполнители работ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6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4"/>
                <w:sz w:val="24"/>
              </w:rPr>
              <w:t xml:space="preserve">Срок 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>исполнения</w:t>
            </w:r>
          </w:p>
        </w:tc>
        <w:tc>
          <w:tcPr>
            <w:tcW w:type="dxa" w:w="3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6"/>
              <w:ind w:hanging="68" w:left="182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Потребные денежные</w:t>
            </w:r>
          </w:p>
          <w:p w14:paraId="13000000">
            <w:pPr>
              <w:pStyle w:val="Style_6"/>
              <w:spacing w:line="308" w:lineRule="exact"/>
              <w:ind w:firstLine="0" w:left="264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средства</w:t>
            </w:r>
          </w:p>
        </w:tc>
      </w:tr>
      <w:tr>
        <w:trPr>
          <w:trHeight w:hRule="atLeast" w:val="3102"/>
          <w:hidden w:val="0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6"/>
              <w:spacing w:line="315" w:lineRule="exact"/>
              <w:ind w:right="178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5"/>
                <w:sz w:val="24"/>
              </w:rPr>
              <w:t>1.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вырубка кустарника, молодых деревьев, корней и травяного покрова по полосе прохода экскаватора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6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проведение субботника</w:t>
            </w:r>
          </w:p>
          <w:p w14:paraId="17000000">
            <w:pPr>
              <w:pStyle w:val="Style_6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или найм работников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6"/>
              <w:spacing w:line="315" w:lineRule="exact"/>
              <w:ind w:firstLine="0" w:left="13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ию</w:t>
            </w:r>
            <w:r>
              <w:rPr>
                <w:rFonts w:ascii="Times New Roman" w:hAnsi="Times New Roman"/>
                <w:b w:val="0"/>
                <w:sz w:val="24"/>
              </w:rPr>
              <w:t>нь-август 2026 г.</w:t>
            </w:r>
          </w:p>
        </w:tc>
        <w:tc>
          <w:tcPr>
            <w:tcW w:type="dxa" w:w="3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Человеко-часы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— единица измерения рабочего времени, которая соответствует 1 часу работы одного сотрудника</w:t>
            </w:r>
          </w:p>
          <w:p w14:paraId="1A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Расчет: время работы 32 чел.час (планируемое – своими силами: 16 чел. – 2 часа; наемные работники 4 чел. – 8 часов) </w:t>
            </w:r>
          </w:p>
          <w:p w14:paraId="1B000000">
            <w:pPr>
              <w:pStyle w:val="Style_2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Расценка </w:t>
            </w:r>
            <w:r>
              <w:rPr>
                <w:rFonts w:ascii="Times New Roman" w:hAnsi="Times New Roman"/>
                <w:b w:val="0"/>
                <w:sz w:val="24"/>
              </w:rPr>
              <w:t>Стоимость работ по расценке ГЭСНр 68-01-014-01 – 648,77 руб.</w:t>
            </w:r>
          </w:p>
          <w:p w14:paraId="1C000000">
            <w:pPr>
              <w:pStyle w:val="Style_2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итого стоимость работ 22600 руб.</w:t>
            </w:r>
          </w:p>
        </w:tc>
      </w:tr>
      <w:tr>
        <w:trPr>
          <w:trHeight w:hRule="atLeast" w:val="576"/>
          <w:hidden w:val="0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6"/>
              <w:spacing w:line="315" w:lineRule="exact"/>
              <w:ind w:right="178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5"/>
                <w:sz w:val="24"/>
              </w:rPr>
              <w:t>2.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6"/>
              <w:tabs>
                <w:tab w:leader="none" w:pos="1780" w:val="left"/>
                <w:tab w:leader="none" w:pos="3437" w:val="left"/>
              </w:tabs>
              <w:ind w:firstLine="0" w:left="107" w:right="92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Работ</w:t>
            </w:r>
            <w:r>
              <w:rPr>
                <w:rFonts w:ascii="Times New Roman" w:hAnsi="Times New Roman"/>
                <w:b w:val="0"/>
                <w:sz w:val="24"/>
              </w:rPr>
              <w:t>а экскаватора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 договору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6"/>
              <w:ind w:firstLine="0" w:left="0"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ию</w:t>
            </w:r>
            <w:r>
              <w:rPr>
                <w:rFonts w:ascii="Times New Roman" w:hAnsi="Times New Roman"/>
                <w:b w:val="0"/>
                <w:sz w:val="24"/>
              </w:rPr>
              <w:t>нь-август 2026 г.</w:t>
            </w:r>
          </w:p>
        </w:tc>
        <w:tc>
          <w:tcPr>
            <w:tcW w:type="dxa" w:w="3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100000 руб.</w:t>
            </w:r>
          </w:p>
        </w:tc>
      </w:tr>
      <w:tr>
        <w:trPr>
          <w:trHeight w:hRule="atLeast" w:val="366"/>
          <w:hidden w:val="0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6"/>
              <w:spacing w:line="315" w:lineRule="exact"/>
              <w:ind w:right="178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6"/>
              <w:tabs>
                <w:tab w:leader="none" w:pos="1780" w:val="left"/>
                <w:tab w:leader="none" w:pos="3437" w:val="left"/>
              </w:tabs>
              <w:ind w:firstLine="0" w:left="107" w:right="92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Итого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6"/>
              <w:ind w:firstLine="110" w:left="344" w:right="329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37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122600 руб.</w:t>
            </w:r>
          </w:p>
        </w:tc>
      </w:tr>
    </w:tbl>
    <w:p w14:paraId="27000000">
      <w:pPr>
        <w:pStyle w:val="Style_4"/>
        <w:tabs>
          <w:tab w:leader="none" w:pos="1409" w:val="left"/>
        </w:tabs>
        <w:spacing w:line="264" w:lineRule="auto"/>
        <w:ind w:right="12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Источник финансирования взнос на пожарную безопасность 3465 руб., взнос за неучастие в субботнике 1000 руб.</w:t>
      </w:r>
    </w:p>
    <w:p w14:paraId="28000000">
      <w:pPr>
        <w:pStyle w:val="Style_4"/>
        <w:numPr>
          <w:ilvl w:val="1"/>
          <w:numId w:val="1"/>
        </w:numPr>
        <w:tabs>
          <w:tab w:leader="none" w:pos="1347" w:val="left"/>
        </w:tabs>
        <w:spacing w:before="1" w:line="252" w:lineRule="auto"/>
        <w:ind w:right="125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Дороги,</w:t>
      </w:r>
      <w:r>
        <w:rPr>
          <w:rFonts w:ascii="Times New Roman" w:hAnsi="Times New Roman"/>
          <w:b w:val="0"/>
          <w:sz w:val="24"/>
        </w:rPr>
        <w:t xml:space="preserve"> проложенные по улицам </w:t>
      </w:r>
      <w:r>
        <w:rPr>
          <w:rFonts w:ascii="Times New Roman" w:hAnsi="Times New Roman"/>
          <w:b w:val="0"/>
          <w:sz w:val="24"/>
        </w:rPr>
        <w:t>и переулкам (</w:t>
      </w:r>
      <w:r>
        <w:rPr>
          <w:rFonts w:ascii="Times New Roman" w:hAnsi="Times New Roman"/>
          <w:b w:val="0"/>
          <w:sz w:val="24"/>
        </w:rPr>
        <w:t>покрытие асфальтной крошкой с системой отвода дождевых и талых вод);</w:t>
      </w:r>
    </w:p>
    <w:tbl>
      <w:tblPr>
        <w:tblStyle w:val="Style_5"/>
        <w:tblInd w:type="dxa" w:w="7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5"/>
        <w:gridCol w:w="1830"/>
        <w:gridCol w:w="1560"/>
        <w:gridCol w:w="1747"/>
        <w:gridCol w:w="3754"/>
      </w:tblGrid>
      <w:tr>
        <w:trPr>
          <w:trHeight w:hRule="atLeast" w:val="945"/>
          <w:hidden w:val="0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6"/>
              <w:ind w:firstLine="55" w:left="110" w:right="89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0"/>
                <w:spacing w:val="-4"/>
                <w:sz w:val="24"/>
              </w:rPr>
              <w:t>п/п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6"/>
              <w:spacing w:before="0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Планируемые</w:t>
            </w:r>
            <w:r>
              <w:rPr>
                <w:rFonts w:ascii="Times New Roman" w:hAnsi="Times New Roman"/>
                <w:b w:val="0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>мероприятия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6"/>
              <w:spacing w:line="308" w:lineRule="exact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Исполнители работ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6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4"/>
                <w:sz w:val="24"/>
              </w:rPr>
              <w:t xml:space="preserve">Срок </w:t>
            </w:r>
            <w:r>
              <w:rPr>
                <w:rFonts w:ascii="Times New Roman" w:hAnsi="Times New Roman"/>
                <w:b w:val="0"/>
                <w:spacing w:val="-2"/>
                <w:sz w:val="24"/>
              </w:rPr>
              <w:t>исполнения</w:t>
            </w:r>
          </w:p>
        </w:tc>
        <w:tc>
          <w:tcPr>
            <w:tcW w:type="dxa" w:w="3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6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Потребные денежные</w:t>
            </w:r>
          </w:p>
          <w:p w14:paraId="2E000000">
            <w:pPr>
              <w:pStyle w:val="Style_6"/>
              <w:spacing w:line="308" w:lineRule="exact"/>
              <w:ind w:firstLine="0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средства</w:t>
            </w:r>
          </w:p>
        </w:tc>
      </w:tr>
      <w:tr>
        <w:trPr>
          <w:trHeight w:hRule="atLeast" w:val="813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6"/>
              <w:spacing w:line="315" w:lineRule="exact"/>
              <w:ind w:right="178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5"/>
                <w:sz w:val="24"/>
              </w:rPr>
              <w:t>1.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Ямочный ремонт дорог в соответствии с графиком очередности ремонта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6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своими силами с привлечением арендуемой техники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6"/>
              <w:spacing w:line="315" w:lineRule="exact"/>
              <w:ind w:firstLine="0" w:left="13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ию</w:t>
            </w:r>
            <w:r>
              <w:rPr>
                <w:rFonts w:ascii="Times New Roman" w:hAnsi="Times New Roman"/>
                <w:b w:val="0"/>
                <w:sz w:val="24"/>
              </w:rPr>
              <w:t>нь-октябрь 2026 г.</w:t>
            </w:r>
          </w:p>
        </w:tc>
        <w:tc>
          <w:tcPr>
            <w:tcW w:type="dxa" w:w="3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6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в соответствии приходно-расходной сметой</w:t>
            </w:r>
          </w:p>
        </w:tc>
      </w:tr>
      <w:tr>
        <w:trPr>
          <w:trHeight w:hRule="atLeast" w:val="1286"/>
        </w:trPr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34000000">
            <w:pPr>
              <w:pStyle w:val="Style_6"/>
              <w:spacing w:line="315" w:lineRule="exact"/>
              <w:ind w:right="178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5"/>
                <w:sz w:val="24"/>
              </w:rPr>
              <w:t>2.</w:t>
            </w:r>
          </w:p>
        </w:tc>
        <w:tc>
          <w:tcPr>
            <w:tcW w:type="dxa" w:w="183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35000000">
            <w:pPr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Прокладка вдоль дорог ливневых стоков</w:t>
            </w:r>
          </w:p>
          <w:p w14:paraId="36000000">
            <w:pPr>
              <w:pStyle w:val="Style_6"/>
              <w:tabs>
                <w:tab w:leader="none" w:pos="1780" w:val="left"/>
                <w:tab w:leader="none" w:pos="3437" w:val="left"/>
              </w:tabs>
              <w:ind w:firstLine="0" w:left="107" w:right="92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37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 договору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38000000">
            <w:pPr>
              <w:pStyle w:val="Style_6"/>
              <w:ind w:firstLine="0" w:left="0"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pacing w:val="-2"/>
                <w:sz w:val="24"/>
              </w:rPr>
              <w:t>ию</w:t>
            </w:r>
            <w:r>
              <w:rPr>
                <w:rFonts w:ascii="Times New Roman" w:hAnsi="Times New Roman"/>
                <w:b w:val="0"/>
                <w:sz w:val="24"/>
              </w:rPr>
              <w:t>нь-август 2027 г.</w:t>
            </w:r>
          </w:p>
        </w:tc>
        <w:tc>
          <w:tcPr>
            <w:tcW w:type="dxa" w:w="375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39000000">
            <w:pPr>
              <w:pStyle w:val="Style_6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Определение стоимости после утверждения источника финансирования</w:t>
            </w:r>
          </w:p>
        </w:tc>
      </w:tr>
      <w:tr>
        <w:trPr>
          <w:trHeight w:hRule="atLeast" w:val="1286"/>
        </w:trPr>
        <w:tc>
          <w:tcPr>
            <w:tcW w:type="dxa" w:w="5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pStyle w:val="Style_6"/>
              <w:spacing w:line="315" w:lineRule="exact"/>
              <w:ind w:right="178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3.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pStyle w:val="Style_6"/>
              <w:tabs>
                <w:tab w:leader="none" w:pos="1780" w:val="left"/>
                <w:tab w:leader="none" w:pos="3437" w:val="left"/>
              </w:tabs>
              <w:ind w:firstLine="0" w:left="107" w:right="92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Ремонт дорог с укладкой асфальтной крошкой</w:t>
            </w:r>
          </w:p>
          <w:p w14:paraId="3C000000">
            <w:pPr>
              <w:pStyle w:val="Style_6"/>
              <w:tabs>
                <w:tab w:leader="none" w:pos="1780" w:val="left"/>
                <w:tab w:leader="none" w:pos="3437" w:val="left"/>
              </w:tabs>
              <w:ind w:firstLine="0" w:left="107" w:right="92"/>
              <w:jc w:val="both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 договору</w:t>
            </w:r>
          </w:p>
        </w:tc>
        <w:tc>
          <w:tcPr>
            <w:tcW w:type="dxa" w:w="17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pStyle w:val="Style_6"/>
              <w:ind w:firstLine="0" w:left="0"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июнь – октябрь 2027 г.</w:t>
            </w:r>
          </w:p>
        </w:tc>
        <w:tc>
          <w:tcPr>
            <w:tcW w:type="dxa" w:w="37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pStyle w:val="Style_6"/>
              <w:ind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Ориентировочная стоимость всех дорог и переулков требует предварительного обследования состояния дорог</w:t>
            </w:r>
          </w:p>
        </w:tc>
      </w:tr>
    </w:tbl>
    <w:p w14:paraId="40000000">
      <w:pPr>
        <w:spacing w:after="12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  <w:t>Перед укладкой асфальтной крошки поверхность хорошо выравнивают. Большие выступы убирают, крупные ямы засыпают щебнем или сколом асфальта. Мелкие ямки очищают. Желательно обустроить подушку из щебня и песка. Щебень засыпают нескольких фракций - сначала крупный, потом мелкий. Каждый слой трамбуется. Сверху - слой песка, который тоже трамбуют. </w:t>
      </w:r>
    </w:p>
    <w:p w14:paraId="41000000">
      <w:pPr>
        <w:spacing w:after="12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  <w:t>Подготовленное к укладке покрытие для улучшения адгезии покрывают битумной эмульсией или специальным составом. После этого асфальтовую крошку равномерно распределяют по участку и укатывают. Под воздействием солнца находящийся в ней битум расплавится и прочно соединит кусочки. </w:t>
      </w:r>
    </w:p>
    <w:p w14:paraId="42000000">
      <w:pPr>
        <w:numPr>
          <w:ilvl w:val="1"/>
          <w:numId w:val="1"/>
        </w:numPr>
        <w:spacing w:after="120" w:before="0"/>
        <w:ind w:right="0"/>
        <w:jc w:val="both"/>
        <w:rPr>
          <w:rFonts w:ascii="Times New Roman" w:hAnsi="Times New Roman"/>
          <w:b w:val="0"/>
          <w:i w:val="0"/>
          <w:caps w:val="0"/>
          <w:color w:val="040404"/>
          <w:spacing w:val="0"/>
          <w:sz w:val="24"/>
          <w:highlight w:val="white"/>
        </w:rPr>
      </w:pPr>
      <w:r>
        <w:rPr>
          <w:rFonts w:ascii="Times New Roman" w:hAnsi="Times New Roman"/>
          <w:b w:val="0"/>
          <w:sz w:val="24"/>
        </w:rPr>
        <w:t>строительство служебного помещения (для хранения служебной документации, оргтехники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Товарищества) с навесом увеличенных размеров (для проведения общих собраний при неблагоприятных метеорологических условиях)</w:t>
      </w:r>
    </w:p>
    <w:p w14:paraId="43000000">
      <w:pPr>
        <w:pStyle w:val="Style_4"/>
        <w:tabs>
          <w:tab w:leader="none" w:pos="1556" w:val="left"/>
        </w:tabs>
        <w:spacing w:before="79" w:line="264" w:lineRule="auto"/>
        <w:ind w:firstLine="709" w:left="0" w:right="12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Мероприятия: определение места для строительства</w:t>
      </w:r>
    </w:p>
    <w:p w14:paraId="44000000">
      <w:pPr>
        <w:pStyle w:val="Style_1"/>
        <w:spacing w:before="27"/>
        <w:ind/>
        <w:jc w:val="both"/>
        <w:rPr>
          <w:rFonts w:ascii="Times New Roman" w:hAnsi="Times New Roman"/>
          <w:b w:val="0"/>
          <w:sz w:val="24"/>
        </w:rPr>
      </w:pPr>
    </w:p>
    <w:p w14:paraId="45000000">
      <w:pPr>
        <w:pStyle w:val="Style_3"/>
        <w:numPr>
          <w:ilvl w:val="0"/>
          <w:numId w:val="1"/>
        </w:numPr>
        <w:tabs>
          <w:tab w:leader="none" w:pos="1400" w:val="left"/>
        </w:tabs>
        <w:ind w:right="0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Организационные</w:t>
      </w:r>
      <w:r>
        <w:rPr>
          <w:rFonts w:ascii="Times New Roman" w:hAnsi="Times New Roman"/>
          <w:b w:val="0"/>
          <w:spacing w:val="-15"/>
          <w:sz w:val="24"/>
        </w:rPr>
        <w:t xml:space="preserve"> </w:t>
      </w:r>
      <w:r>
        <w:rPr>
          <w:rFonts w:ascii="Times New Roman" w:hAnsi="Times New Roman"/>
          <w:b w:val="0"/>
          <w:spacing w:val="-2"/>
          <w:sz w:val="24"/>
        </w:rPr>
        <w:t>мероприятия:</w:t>
      </w:r>
    </w:p>
    <w:p w14:paraId="46000000">
      <w:pPr>
        <w:pStyle w:val="Style_1"/>
        <w:spacing w:before="79" w:line="264" w:lineRule="auto"/>
        <w:ind w:right="12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1.1. Проработать вопрос централизованного освещения всей территории СНТ Мероприятия: согласование с АО «Оборонэнерго», после получения согласия и технических требований приступить к его реализации.</w:t>
      </w:r>
    </w:p>
    <w:p w14:paraId="47000000">
      <w:pPr>
        <w:pStyle w:val="Style_1"/>
        <w:spacing w:before="79" w:line="264" w:lineRule="auto"/>
        <w:ind w:right="128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1.2.</w:t>
      </w:r>
      <w:r>
        <w:rPr>
          <w:rFonts w:ascii="Times New Roman" w:hAnsi="Times New Roman"/>
          <w:b w:val="0"/>
          <w:spacing w:val="-2"/>
          <w:sz w:val="24"/>
        </w:rPr>
        <w:t xml:space="preserve"> Организация личных кабинетов садоводов и возможности электронного голосования по вопросам, относящимся к полномочиям общего собрания членов СНТ «Лесное»</w:t>
      </w:r>
      <w:r>
        <w:rPr>
          <w:rFonts w:ascii="Times New Roman" w:hAnsi="Times New Roman"/>
          <w:b w:val="0"/>
          <w:spacing w:val="-2"/>
          <w:sz w:val="24"/>
        </w:rPr>
        <w:t xml:space="preserve">. </w:t>
      </w:r>
    </w:p>
    <w:p w14:paraId="48000000">
      <w:pPr>
        <w:pStyle w:val="Style_3"/>
        <w:tabs>
          <w:tab w:leader="none" w:pos="1400" w:val="left"/>
        </w:tabs>
        <w:ind w:firstLine="0" w:left="-17" w:righ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1.3. Принятие мер к злостным неплательщикам взносам и иных платежей.</w:t>
      </w:r>
    </w:p>
    <w:p w14:paraId="49000000">
      <w:pPr>
        <w:pStyle w:val="Style_4"/>
        <w:tabs>
          <w:tab w:leader="none" w:pos="1412" w:val="left"/>
        </w:tabs>
        <w:spacing w:line="264" w:lineRule="auto"/>
        <w:ind w:firstLine="0" w:left="0" w:right="125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1.4. Принятие мер по не освоенным или запущенным садовым земельным участкам к их владельцам в соответствии с требованиями пункта 5 статьи 23 Федерального закона от 29 июля 2017 г. № 217-ФЗ (выявление не освоенных и запущенных участков, направление писем их владельцам, принятие мер после 1 марта </w:t>
      </w:r>
      <w:r>
        <w:rPr>
          <w:rFonts w:ascii="Times New Roman" w:hAnsi="Times New Roman"/>
          <w:b w:val="0"/>
          <w:sz w:val="24"/>
        </w:rPr>
        <w:t xml:space="preserve">2028 г. по штрафу владельца или изъятию и продаже этих садовых земельных </w:t>
      </w:r>
      <w:r>
        <w:rPr>
          <w:rFonts w:ascii="Times New Roman" w:hAnsi="Times New Roman"/>
          <w:b w:val="0"/>
          <w:spacing w:val="-2"/>
          <w:sz w:val="24"/>
        </w:rPr>
        <w:t>участков);</w:t>
      </w:r>
    </w:p>
    <w:p w14:paraId="4A000000">
      <w:pPr>
        <w:spacing w:after="120" w:before="0"/>
        <w:ind w:hanging="120" w:left="120" w:right="120"/>
        <w:jc w:val="both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С 1 марта 2025 года</w:t>
      </w: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вступил в силу Федеральный закон от 08.08.2024 №307-ФЗ «О внесении изменений в Земельный кодекс Российской Федерации и статью 23 Федерального закона „О ведении гражданами садоводства и огородничества для собственных нужд и о внесении изменений в отдельные законодательные акты Российской Федерации“</w:t>
      </w:r>
    </w:p>
    <w:p w14:paraId="4B000000">
      <w:pPr>
        <w:spacing w:after="120" w:before="0"/>
        <w:ind w:hanging="120" w:left="120" w:right="120"/>
        <w:jc w:val="both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Закон устанавливает трёхлетний срок</w:t>
      </w: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для освоения участков, расположенных в границах населённых пунктов, садовых и огородных участков. Срок отсчитывается с момента возникновения прав на землю, а по тем участкам, которые давно в собственности — с момента принятия закона, то есть с 1 марта 2025 года. </w:t>
      </w:r>
    </w:p>
    <w:p w14:paraId="4C000000">
      <w:pPr>
        <w:spacing w:after="120" w:before="0"/>
        <w:ind w:hanging="120" w:left="120" w:right="120"/>
        <w:jc w:val="both"/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Участок считается неиспользуемым</w:t>
      </w:r>
      <w:r>
        <w:rPr>
          <w:rFonts w:ascii="Times New Roman" w:hAnsi="Times New Roman"/>
          <w:b w:val="0"/>
          <w:caps w:val="0"/>
          <w:color w:val="000000"/>
          <w:spacing w:val="0"/>
          <w:sz w:val="24"/>
          <w:highlight w:val="white"/>
        </w:rPr>
        <w:t>, если есть хотя бы один из следующих признаков, согласно постановлению №826 от 31 мая 2025 года:</w:t>
      </w:r>
    </w:p>
    <w:p w14:paraId="4D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более 50% площади участка заняты мусором, отходами производства и потребления, отходами от коммунальной деятельности;</w:t>
      </w:r>
    </w:p>
    <w:p w14:paraId="4E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участок не используется по целевому назначению в течение года и более, владелец не освобождает его от мусора или растительности после окончания временных работ, например, прокладки сетей;</w:t>
      </w:r>
    </w:p>
    <w:p w14:paraId="4F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 участке, где разрешено строительство, отсутствуют здания или сооружения в течение 7 лет с момента предоставления участка;</w:t>
      </w:r>
    </w:p>
    <w:p w14:paraId="50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 участке под ИЖС не построен жилой дом в течение 7 и более лет (исключения — если препятствия были признаны уважительными судом);</w:t>
      </w:r>
    </w:p>
    <w:p w14:paraId="51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имеется здание, у которого разрушены основные конструктивные элементы (крыша, стены, окна);</w:t>
      </w:r>
    </w:p>
    <w:p w14:paraId="52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на участке нет зарегистрированных объектов недвижимости, несмотря на фактическое наличие строений;</w:t>
      </w:r>
    </w:p>
    <w:p w14:paraId="53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более 50% площади заняты сорными растениями выше 1 метра, деревьями и кустарниками, не отнесёнными к элементам благоустройства;</w:t>
      </w:r>
    </w:p>
    <w:p w14:paraId="54000000">
      <w:pPr>
        <w:numPr>
          <w:numId w:val="2"/>
        </w:num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работы по удалению сорняков и кустарников не проводились в течение года и более.</w:t>
      </w:r>
    </w:p>
    <w:p w14:paraId="55000000">
      <w:pPr>
        <w:spacing w:after="120" w:before="0"/>
        <w:ind w:hanging="120" w:left="120" w:right="120"/>
        <w:jc w:val="both"/>
        <w:rPr>
          <w:rFonts w:ascii="Times New Roman" w:hAnsi="Times New Roman"/>
          <w:b w:val="0"/>
          <w:caps w:val="0"/>
          <w:color w:val="333333"/>
          <w:spacing w:val="0"/>
          <w:sz w:val="24"/>
          <w:highlight w:val="white"/>
        </w:rPr>
      </w:pPr>
      <w:r>
        <w:rPr>
          <w:rFonts w:ascii="Times New Roman" w:hAnsi="Times New Roman"/>
          <w:b w:val="0"/>
          <w:caps w:val="0"/>
          <w:color w:val="333333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sz w:val="24"/>
        </w:rPr>
        <w:t>1.5 Установка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вдоль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дорог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ящиков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с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песком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для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использования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в</w:t>
      </w:r>
      <w:r>
        <w:rPr>
          <w:rFonts w:ascii="Times New Roman" w:hAnsi="Times New Roman"/>
          <w:b w:val="0"/>
          <w:spacing w:val="8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период</w:t>
      </w:r>
      <w:r>
        <w:rPr>
          <w:rFonts w:ascii="Times New Roman" w:hAnsi="Times New Roman"/>
          <w:b w:val="0"/>
          <w:spacing w:val="-2"/>
          <w:sz w:val="24"/>
        </w:rPr>
        <w:t xml:space="preserve"> гололеда.</w:t>
      </w:r>
    </w:p>
    <w:sectPr>
      <w:headerReference r:id="rId1" w:type="default"/>
      <w:pgSz w:h="15840" w:orient="portrait" w:w="12240"/>
      <w:pgMar w:bottom="280" w:footer="0" w:gutter="0" w:header="749" w:left="1003" w:right="1032" w:top="11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3902075</wp:posOffset>
              </wp:positionH>
              <wp:positionV relativeFrom="page">
                <wp:posOffset>462787</wp:posOffset>
              </wp:positionV>
              <wp:extent cx="160020" cy="16573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line="245" w:lineRule="exact"/>
                            <w:ind w:firstLine="0" w:left="60"/>
                            <w:rPr>
                              <w:rFonts w:ascii="Calibri" w:hAnsi="Calibri"/>
                              <w:sz w:val="22"/>
                            </w:rPr>
                          </w:pP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7" w:type="paragraph">
    <w:name w:val="toc 2"/>
    <w:next w:val="Style_2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1" w:type="paragraph">
    <w:name w:val="Body Text"/>
    <w:basedOn w:val="Style_2"/>
    <w:link w:val="Style_1_ch"/>
    <w:rPr>
      <w:sz w:val="28"/>
    </w:rPr>
  </w:style>
  <w:style w:styleId="Style_1_ch" w:type="character">
    <w:name w:val="Body Text"/>
    <w:basedOn w:val="Style_2_ch"/>
    <w:link w:val="Style_1"/>
    <w:rPr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4" w:type="paragraph">
    <w:name w:val="List Paragraph"/>
    <w:basedOn w:val="Style_2"/>
    <w:link w:val="Style_4_ch"/>
    <w:pPr>
      <w:ind w:firstLine="720" w:left="412"/>
      <w:jc w:val="both"/>
    </w:pPr>
  </w:style>
  <w:style w:styleId="Style_4_ch" w:type="character">
    <w:name w:val="List Paragraph"/>
    <w:basedOn w:val="Style_2_ch"/>
    <w:link w:val="Style_4"/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3" w:type="paragraph">
    <w:name w:val="heading 1"/>
    <w:basedOn w:val="Style_2"/>
    <w:link w:val="Style_3_ch"/>
    <w:uiPriority w:val="9"/>
    <w:qFormat/>
    <w:pPr>
      <w:ind w:firstLine="0" w:left="1184" w:right="194"/>
      <w:jc w:val="center"/>
      <w:outlineLvl w:val="0"/>
    </w:pPr>
    <w:rPr>
      <w:b w:val="1"/>
      <w:sz w:val="28"/>
    </w:rPr>
  </w:style>
  <w:style w:styleId="Style_3_ch" w:type="character">
    <w:name w:val="heading 1"/>
    <w:basedOn w:val="Style_2_ch"/>
    <w:link w:val="Style_3"/>
    <w:rPr>
      <w:b w:val="1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6" w:type="paragraph">
    <w:name w:val="Table Paragraph"/>
    <w:basedOn w:val="Style_2"/>
    <w:link w:val="Style_6_ch"/>
  </w:style>
  <w:style w:styleId="Style_6_ch" w:type="character">
    <w:name w:val="Table Paragraph"/>
    <w:basedOn w:val="Style_2_ch"/>
    <w:link w:val="Style_6"/>
  </w:style>
  <w:style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2025-12-04T19:47:40Z</dcterms:modified>
</cp:coreProperties>
</file>